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1C" w:rsidRPr="005C47A6" w:rsidRDefault="0070591C" w:rsidP="0070591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5C47A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Основные этапы обработки заявки</w:t>
      </w:r>
    </w:p>
    <w:p w:rsidR="003B4C1A" w:rsidRDefault="003B4C1A" w:rsidP="0070591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B4C1A" w:rsidRDefault="003B4C1A" w:rsidP="0070591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B4C1A" w:rsidRPr="003B4C1A" w:rsidRDefault="003B4C1A" w:rsidP="0070591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3B4C1A" w:rsidRPr="0070591C" w:rsidRDefault="003B4C1A" w:rsidP="0070591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tbl>
      <w:tblPr>
        <w:tblW w:w="109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1566"/>
        <w:gridCol w:w="1462"/>
        <w:gridCol w:w="60"/>
        <w:gridCol w:w="437"/>
        <w:gridCol w:w="2484"/>
        <w:gridCol w:w="35"/>
        <w:gridCol w:w="112"/>
        <w:gridCol w:w="473"/>
        <w:gridCol w:w="1217"/>
      </w:tblGrid>
      <w:tr w:rsidR="005C47A6" w:rsidRPr="0070591C" w:rsidTr="005C47A6">
        <w:trPr>
          <w:gridAfter w:val="1"/>
          <w:wAfter w:w="1217" w:type="dxa"/>
        </w:trPr>
        <w:tc>
          <w:tcPr>
            <w:tcW w:w="309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70591C" w:rsidP="0070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9594" w:themeColor="accent2" w:themeTint="99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b/>
                <w:bCs/>
                <w:color w:val="D99594" w:themeColor="accent2" w:themeTint="99"/>
                <w:sz w:val="28"/>
                <w:szCs w:val="21"/>
                <w:lang w:eastAsia="ru-RU"/>
              </w:rPr>
              <w:t>Этап</w:t>
            </w:r>
          </w:p>
        </w:tc>
        <w:tc>
          <w:tcPr>
            <w:tcW w:w="3028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70591C" w:rsidP="0070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9594" w:themeColor="accent2" w:themeTint="99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b/>
                <w:bCs/>
                <w:color w:val="D99594" w:themeColor="accent2" w:themeTint="99"/>
                <w:sz w:val="28"/>
                <w:szCs w:val="21"/>
                <w:lang w:eastAsia="ru-RU"/>
              </w:rPr>
              <w:t>Процедура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70591C" w:rsidP="0070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9594" w:themeColor="accent2" w:themeTint="99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b/>
                <w:bCs/>
                <w:color w:val="D99594" w:themeColor="accent2" w:themeTint="99"/>
                <w:sz w:val="28"/>
                <w:szCs w:val="21"/>
                <w:lang w:eastAsia="ru-RU"/>
              </w:rPr>
              <w:t>Срок</w:t>
            </w:r>
          </w:p>
        </w:tc>
      </w:tr>
      <w:tr w:rsidR="005C47A6" w:rsidRPr="003B4C1A" w:rsidTr="005C47A6">
        <w:trPr>
          <w:gridAfter w:val="1"/>
          <w:wAfter w:w="1217" w:type="dxa"/>
          <w:trHeight w:val="966"/>
        </w:trPr>
        <w:tc>
          <w:tcPr>
            <w:tcW w:w="309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  <w:t>Первичная обработка обращения (заявки)</w:t>
            </w:r>
          </w:p>
        </w:tc>
        <w:tc>
          <w:tcPr>
            <w:tcW w:w="3028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Прием обращения с заявкой на технологическое присоединение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при очном обращении не более 30 минут</w:t>
            </w:r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3091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  <w:t>Основная обработка заявки</w:t>
            </w:r>
          </w:p>
        </w:tc>
        <w:tc>
          <w:tcPr>
            <w:tcW w:w="3028" w:type="dxa"/>
            <w:gridSpan w:val="2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Проверка соблюдения требований к форме, полноте сведений в заявке и наличия документов, приложенных к заявке в соответствии с нормативными правовыми актами и организационно-распорядительными документами.</w:t>
            </w:r>
          </w:p>
          <w:p w:rsidR="0070591C" w:rsidRPr="0070591C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Регистрация заявки и пакета документов </w:t>
            </w:r>
            <w:r w:rsidRPr="0070591C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1"/>
                <w:lang w:eastAsia="ru-RU"/>
              </w:rPr>
              <w:t>в АМ по направлению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1 рабочий день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 даты получения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заявки и пакета документов при очном обращении</w:t>
            </w:r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3091" w:type="dxa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70591C" w:rsidRPr="005C47A6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028" w:type="dxa"/>
            <w:gridSpan w:val="2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70591C" w:rsidRPr="0070591C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2 рабочих дня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 даты регистрации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входящего письма с заявкой и пакетом документов при получении заявки почтой</w:t>
            </w:r>
          </w:p>
        </w:tc>
      </w:tr>
      <w:tr w:rsidR="005C47A6" w:rsidRPr="003B4C1A" w:rsidTr="005C47A6">
        <w:trPr>
          <w:gridAfter w:val="1"/>
          <w:wAfter w:w="1217" w:type="dxa"/>
          <w:trHeight w:val="2173"/>
        </w:trPr>
        <w:tc>
          <w:tcPr>
            <w:tcW w:w="3091" w:type="dxa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70591C" w:rsidRPr="005C47A6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BABABA"/>
              <w:left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3B4C1A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Подготовка и направление уведомления заявителю о недостающих сведениях и/или документах к заявке</w:t>
            </w:r>
          </w:p>
          <w:p w:rsidR="0070591C" w:rsidRPr="0070591C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3B4C1A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6 рабочих дней после получения заявки</w:t>
            </w:r>
          </w:p>
          <w:p w:rsidR="0070591C" w:rsidRPr="0070591C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  <w:tr w:rsidR="005C47A6" w:rsidRPr="003B4C1A" w:rsidTr="005C47A6">
        <w:trPr>
          <w:gridAfter w:val="1"/>
          <w:wAfter w:w="1217" w:type="dxa"/>
          <w:trHeight w:val="6425"/>
        </w:trPr>
        <w:tc>
          <w:tcPr>
            <w:tcW w:w="3091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  <w:lastRenderedPageBreak/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3028" w:type="dxa"/>
            <w:gridSpan w:val="2"/>
            <w:vMerge w:val="restart"/>
            <w:tcBorders>
              <w:top w:val="single" w:sz="6" w:space="0" w:color="BABABA"/>
              <w:left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Подготовка и направление проекта договора об осуществлении технологического присоединения и технических условий заявителю.</w:t>
            </w:r>
          </w:p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(При технологическом присоединении по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индивидуальному проекту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заявителю так же направляется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проекту)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15 дней со дня получения заявки от заявителя (уполномоченного представителя) в случае полного пакета документов или со дня получения недостающих сведений и/или документов к заявке для физических лиц в целях технологического присоединения ЭПУ, максимальная мощность которых составляет до 15 кВт включительно (с учетом ранее присоединенных) для бытовых и иных нужд по одному источнику электроснабжения, для юридических лиц или индивидуальных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предпринимателей ЭПУ, максимальная мощность которых составляет до 150 к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Вт вкл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ючительно (с учетом ранее присоединенных) по второй или третьей категории надежности</w:t>
            </w:r>
          </w:p>
        </w:tc>
      </w:tr>
      <w:tr w:rsidR="005C47A6" w:rsidRPr="003B4C1A" w:rsidTr="005C47A6">
        <w:trPr>
          <w:gridAfter w:val="1"/>
          <w:wAfter w:w="1217" w:type="dxa"/>
        </w:trPr>
        <w:tc>
          <w:tcPr>
            <w:tcW w:w="3091" w:type="dxa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028" w:type="dxa"/>
            <w:gridSpan w:val="2"/>
            <w:vMerge/>
            <w:tcBorders>
              <w:left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 течение 10 дней со дня получения заявки в случае временного технологического присоединения</w:t>
            </w:r>
          </w:p>
        </w:tc>
      </w:tr>
      <w:tr w:rsidR="005C47A6" w:rsidRPr="003B4C1A" w:rsidTr="005C47A6">
        <w:trPr>
          <w:gridAfter w:val="1"/>
          <w:wAfter w:w="1217" w:type="dxa"/>
        </w:trPr>
        <w:tc>
          <w:tcPr>
            <w:tcW w:w="3091" w:type="dxa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028" w:type="dxa"/>
            <w:gridSpan w:val="2"/>
            <w:vMerge/>
            <w:tcBorders>
              <w:left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30 дней со дня получения заявки (в случае полного пакета документов) или со дня получения недостающих сведений и/или документов к заявке</w:t>
            </w:r>
          </w:p>
        </w:tc>
      </w:tr>
      <w:tr w:rsidR="005C47A6" w:rsidRPr="003B4C1A" w:rsidTr="005C47A6">
        <w:trPr>
          <w:gridAfter w:val="1"/>
          <w:wAfter w:w="1217" w:type="dxa"/>
          <w:trHeight w:val="2195"/>
        </w:trPr>
        <w:tc>
          <w:tcPr>
            <w:tcW w:w="3091" w:type="dxa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028" w:type="dxa"/>
            <w:gridSpan w:val="2"/>
            <w:vMerge/>
            <w:tcBorders>
              <w:left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 течение 3 рабочих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</w:t>
            </w:r>
          </w:p>
        </w:tc>
      </w:tr>
      <w:tr w:rsidR="005C47A6" w:rsidRPr="003B4C1A" w:rsidTr="005C47A6">
        <w:trPr>
          <w:gridAfter w:val="1"/>
          <w:wAfter w:w="1217" w:type="dxa"/>
        </w:trPr>
        <w:tc>
          <w:tcPr>
            <w:tcW w:w="3091" w:type="dxa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028" w:type="dxa"/>
            <w:gridSpan w:val="2"/>
            <w:vMerge/>
            <w:tcBorders>
              <w:left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70591C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  <w:tr w:rsidR="005C47A6" w:rsidRPr="003B4C1A" w:rsidTr="005C47A6">
        <w:trPr>
          <w:gridAfter w:val="1"/>
          <w:wAfter w:w="1217" w:type="dxa"/>
        </w:trPr>
        <w:tc>
          <w:tcPr>
            <w:tcW w:w="3091" w:type="dxa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028" w:type="dxa"/>
            <w:gridSpan w:val="2"/>
            <w:vMerge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5 рабочих дней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 даты получения от заявителя мотивированного отказа от подписания проекта договора с требованием о приведении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его в соответствие с Правилами технологического присоединения</w:t>
            </w:r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3091" w:type="dxa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Подписание договора со стороны заявителя и направление одного экземпляра в сетевую организацию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30 дней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 даты получения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подписанного организацией проекта договора</w:t>
            </w:r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3091" w:type="dxa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Направление заявителем мотивированного отказа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от подписания проекта договора с требованием о приведении его в соответствие с Правилами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технологического присоединения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30 дней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 даты получения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подписанного организацией проекта договора</w:t>
            </w:r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3091" w:type="dxa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Аннулирование </w:t>
            </w: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заявки на технологическое присоединение в случае, если заявителем не направлен подписанный проект договора или мотивированный отказ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 xml:space="preserve">60 дней со дня получения </w:t>
            </w: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заявителем подписанного сетевой организацией проекта договора</w:t>
            </w:r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3091" w:type="dxa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Направление копии заявки на технологическое присоединение на рассмотрение системному оператору в случае технологического присоединения энергопринимающих устройств, за исключением заявок, поданных физическими лицами в целях технологического присоединения ЭПУ с максимальной мощностью до 15 кВт включительно (с учетом ранее присоединенных) для бытовых и иных нужд, юридическими лицами или индивидуальными предпринимателями ЭПУ с максимальной мощностью до 150 кВт включительно (с учетом ранее присоединенных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), и технологического </w:t>
            </w: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присоединения посредством перераспределения.</w:t>
            </w:r>
          </w:p>
          <w:p w:rsid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5C47A6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 xml:space="preserve">5 рабочих дней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 даты получения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заявки</w:t>
            </w:r>
          </w:p>
        </w:tc>
      </w:tr>
      <w:tr w:rsidR="003B4C1A" w:rsidRPr="0070591C" w:rsidTr="005C47A6">
        <w:trPr>
          <w:gridAfter w:val="1"/>
          <w:wAfter w:w="1217" w:type="dxa"/>
        </w:trPr>
        <w:tc>
          <w:tcPr>
            <w:tcW w:w="6119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</w:pPr>
          </w:p>
          <w:p w:rsidR="005C47A6" w:rsidRP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</w:pPr>
          </w:p>
          <w:p w:rsidR="005C47A6" w:rsidRP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</w:pPr>
          </w:p>
          <w:p w:rsidR="005C47A6" w:rsidRP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</w:pPr>
          </w:p>
          <w:p w:rsidR="0070591C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  <w:t>Осуществление мероприятий по технологическому присоединению со стороны сетевой организации: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3B4C1A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1. </w:t>
            </w:r>
            <w:proofErr w:type="gramStart"/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 случаях, если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 [1]:</w:t>
            </w:r>
            <w:proofErr w:type="gramEnd"/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6119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70591C" w:rsidRDefault="005C47A6" w:rsidP="005C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при временном присоединении энергопринимающих устройств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15 рабочих дней (если в заявке не указан более продолжительный срок)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 даты заключения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договора</w:t>
            </w:r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6119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C47A6" w:rsidRPr="0070591C" w:rsidRDefault="005C47A6" w:rsidP="005C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для заявителей с максимальной мощностью энергопринимающих устройств до 670 к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Вт вкл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ючительно (с учетом ранее присоединенной в </w:t>
            </w: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данной точке присоединения мощности)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 xml:space="preserve">4 месяца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 даты заключения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договора</w:t>
            </w:r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6119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C47A6" w:rsidRDefault="005C47A6" w:rsidP="005C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для заявителей с максимальной мощностью энергопринимающих устрой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ств св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ыше 670 кВт</w:t>
            </w:r>
          </w:p>
          <w:p w:rsidR="005C47A6" w:rsidRPr="0070591C" w:rsidRDefault="005C47A6" w:rsidP="005C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1 год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 даты заключения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договора</w:t>
            </w:r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4657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  <w:t>Осуществление мероприятий по технологическому присоединению со стороны сетевой организации:</w:t>
            </w:r>
          </w:p>
        </w:tc>
        <w:tc>
          <w:tcPr>
            <w:tcW w:w="5063" w:type="dxa"/>
            <w:gridSpan w:val="7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  <w:p w:rsidR="005C47A6" w:rsidRP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2. </w:t>
            </w:r>
            <w:proofErr w:type="gramStart"/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 случаях, если от сетевой организации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электроэнергетики:</w:t>
            </w:r>
            <w:proofErr w:type="gramEnd"/>
          </w:p>
        </w:tc>
      </w:tr>
      <w:tr w:rsidR="005C47A6" w:rsidRPr="0070591C" w:rsidTr="005C47A6">
        <w:trPr>
          <w:trHeight w:val="3698"/>
        </w:trPr>
        <w:tc>
          <w:tcPr>
            <w:tcW w:w="6179" w:type="dxa"/>
            <w:gridSpan w:val="4"/>
            <w:tcBorders>
              <w:top w:val="single" w:sz="6" w:space="0" w:color="BABABA"/>
              <w:left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при временном технологическом присоединении заявителей, энергопринимающие устройства которых являются передвижными и имеют максимальную мощность до 150 к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Вт вкл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ючительно (с учетом ранее присоединенной в данной точке присоединения мощности), если расстояние от </w:t>
            </w:r>
            <w:proofErr w:type="spell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энергопринимающего</w:t>
            </w:r>
            <w:proofErr w:type="spell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устройства заявителя до существующих электрических сетей необходимого класса напряжения составляет не более 300 метров</w:t>
            </w:r>
          </w:p>
        </w:tc>
        <w:tc>
          <w:tcPr>
            <w:tcW w:w="2921" w:type="dxa"/>
            <w:gridSpan w:val="2"/>
            <w:tcBorders>
              <w:top w:val="single" w:sz="6" w:space="0" w:color="BABABA"/>
              <w:left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C47A6" w:rsidRP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15 рабочих дней (если в заявке не указан более продолжительный срок)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с даты заключения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договора</w:t>
            </w:r>
          </w:p>
        </w:tc>
        <w:tc>
          <w:tcPr>
            <w:tcW w:w="35" w:type="dxa"/>
            <w:tcBorders>
              <w:top w:val="single" w:sz="6" w:space="0" w:color="BABABA"/>
              <w:left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C47A6" w:rsidRPr="005C47A6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BABABA"/>
              <w:left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BABABA"/>
              <w:left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6119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д</w:t>
            </w: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ля физических лиц ЭПУ с максимальной мощностью до 15 к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Вт вкл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ючительно (с учетом ранее присоединенных) для бытовых и иных нужд, юридических лиц или индивидуальных предпринимателей ЭПУ с максимальной мощностью до 150 кВт включительно (с учетом ранее присоединенных), в </w:t>
            </w:r>
            <w:proofErr w:type="spell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т.ч</w:t>
            </w:r>
            <w:proofErr w:type="spell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. технологического присоединения посредством перераспределения.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6 месяцев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)</w:t>
            </w:r>
            <w:proofErr w:type="gramEnd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с даты заключения договора</w:t>
            </w:r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6119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для заявителей, суммарная максимальная мощность энергопринимающих устройств которых не превышает 670 кВт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1 год, если более короткие сроки не предусмотрены инвестиционной программой соответствующей сетевой организации или соглашением сторон</w:t>
            </w:r>
          </w:p>
        </w:tc>
      </w:tr>
      <w:tr w:rsidR="005C47A6" w:rsidRPr="0070591C" w:rsidTr="005C47A6">
        <w:trPr>
          <w:gridAfter w:val="1"/>
          <w:wAfter w:w="1217" w:type="dxa"/>
        </w:trPr>
        <w:tc>
          <w:tcPr>
            <w:tcW w:w="6119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для заявителей, суммарная максимальная мощность энергопринимающих устройств которых превышает 670 кВт</w:t>
            </w:r>
          </w:p>
        </w:tc>
        <w:tc>
          <w:tcPr>
            <w:tcW w:w="3601" w:type="dxa"/>
            <w:gridSpan w:val="6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C47A6" w:rsidRPr="0070591C" w:rsidRDefault="005C47A6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2 года, если иные сроки (но не более 4 лет) не предусмотрены соответствующей инвестиционной программой или соглашением сторон</w:t>
            </w:r>
          </w:p>
        </w:tc>
      </w:tr>
      <w:tr w:rsidR="003B4C1A" w:rsidRPr="0070591C" w:rsidTr="005C47A6">
        <w:trPr>
          <w:gridAfter w:val="1"/>
          <w:wAfter w:w="1217" w:type="dxa"/>
        </w:trPr>
        <w:tc>
          <w:tcPr>
            <w:tcW w:w="9247" w:type="dxa"/>
            <w:gridSpan w:val="8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3B4C1A" w:rsidP="003B4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1"/>
                <w:lang w:eastAsia="ru-RU"/>
              </w:rPr>
              <w:t xml:space="preserve">Сроки исполнения сетевой организацией фактического присоединения объектов заявителя </w:t>
            </w:r>
          </w:p>
        </w:tc>
        <w:tc>
          <w:tcPr>
            <w:tcW w:w="47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  <w:tr w:rsidR="003B4C1A" w:rsidRPr="0070591C" w:rsidTr="005C47A6">
        <w:trPr>
          <w:gridAfter w:val="1"/>
          <w:wAfter w:w="1217" w:type="dxa"/>
        </w:trPr>
        <w:tc>
          <w:tcPr>
            <w:tcW w:w="6616" w:type="dxa"/>
            <w:gridSpan w:val="5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Прием от заявителя уведомления о выполнении технических условий с необходимым пакетом документов</w:t>
            </w:r>
          </w:p>
        </w:tc>
        <w:tc>
          <w:tcPr>
            <w:tcW w:w="2631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при очном обращении не более 30 минут</w:t>
            </w:r>
          </w:p>
        </w:tc>
        <w:tc>
          <w:tcPr>
            <w:tcW w:w="47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  <w:tr w:rsidR="003B4C1A" w:rsidRPr="0070591C" w:rsidTr="005C47A6">
        <w:trPr>
          <w:gridAfter w:val="1"/>
          <w:wAfter w:w="1217" w:type="dxa"/>
        </w:trPr>
        <w:tc>
          <w:tcPr>
            <w:tcW w:w="6616" w:type="dxa"/>
            <w:gridSpan w:val="5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3B4C1A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2631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при поступлении уведомления почтой передача уведомления и пакета документов в профильное подразделение – не более 1 рабочего дня</w:t>
            </w:r>
          </w:p>
        </w:tc>
        <w:tc>
          <w:tcPr>
            <w:tcW w:w="47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  <w:tr w:rsidR="003B4C1A" w:rsidRPr="0070591C" w:rsidTr="005C47A6">
        <w:trPr>
          <w:gridAfter w:val="1"/>
          <w:wAfter w:w="1217" w:type="dxa"/>
        </w:trPr>
        <w:tc>
          <w:tcPr>
            <w:tcW w:w="6616" w:type="dxa"/>
            <w:gridSpan w:val="5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proofErr w:type="gramStart"/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Осмотр (обследование) ЭПУ до распределительного устройства (пункта) заявителя (распределительного устройства трансформаторной подстанции, вводного устройства, вводного распределительного устройства, главного распределительного щита, узла учета) включительно</w:t>
            </w:r>
            <w:proofErr w:type="gramEnd"/>
          </w:p>
        </w:tc>
        <w:tc>
          <w:tcPr>
            <w:tcW w:w="2631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в течение 3 рабочих дней после уведомления заявителем о выполнении своих обязательств договора об </w:t>
            </w: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осуществлении технологического присоединения</w:t>
            </w:r>
          </w:p>
        </w:tc>
        <w:tc>
          <w:tcPr>
            <w:tcW w:w="47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  <w:tr w:rsidR="003B4C1A" w:rsidRPr="0070591C" w:rsidTr="005C47A6">
        <w:trPr>
          <w:gridAfter w:val="1"/>
          <w:wAfter w:w="1217" w:type="dxa"/>
        </w:trPr>
        <w:tc>
          <w:tcPr>
            <w:tcW w:w="6616" w:type="dxa"/>
            <w:gridSpan w:val="5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По результатам мероприятий по проверке выполнения заявителем технических условий сетевая организация составляет и направляет для подписания заявителю подписанный со своей стороны в 2 экземплярах Акт о выполнении технических условий</w:t>
            </w:r>
          </w:p>
        </w:tc>
        <w:tc>
          <w:tcPr>
            <w:tcW w:w="2631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 3-дневный срок после проведения осмотра.</w:t>
            </w:r>
          </w:p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Общий срок проведения мероприятий по проверке не должен превышать 10 дней со дня получения уведомления от заявителя о выполнении им технических условий либо уведомления об устранении замечаний</w:t>
            </w:r>
          </w:p>
        </w:tc>
        <w:tc>
          <w:tcPr>
            <w:tcW w:w="47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  <w:tr w:rsidR="003B4C1A" w:rsidRPr="0070591C" w:rsidTr="005C47A6">
        <w:trPr>
          <w:gridAfter w:val="1"/>
          <w:wAfter w:w="1217" w:type="dxa"/>
        </w:trPr>
        <w:tc>
          <w:tcPr>
            <w:tcW w:w="6616" w:type="dxa"/>
            <w:gridSpan w:val="5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</w:tc>
        <w:tc>
          <w:tcPr>
            <w:tcW w:w="2631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47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  <w:tr w:rsidR="003B4C1A" w:rsidRPr="0070591C" w:rsidTr="005C47A6">
        <w:trPr>
          <w:gridAfter w:val="1"/>
          <w:wAfter w:w="1217" w:type="dxa"/>
        </w:trPr>
        <w:tc>
          <w:tcPr>
            <w:tcW w:w="6616" w:type="dxa"/>
            <w:gridSpan w:val="5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proofErr w:type="gramStart"/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 случае присоединения ЭПУ к сетям классом напряжения до 20 кВ по одному источнику, а так же в отношении физических лиц ЭПУ с максимальной мощностью до 15 кВт включительно (с учетом ранее присоединенных) для бытовых и иных нужд, юридических лиц или индивидуальных предпринимателей ЭПУ с максимальной мощностью до 150 кВт включительно (с учетом ранее присоединенных), и временного технологического присоединения Акт</w:t>
            </w:r>
            <w:proofErr w:type="gramEnd"/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</w:t>
            </w:r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о выполнении технических условий составляется и подписывается заявителем и сетевой организацией непосредственно в день проведения осмотра.</w:t>
            </w:r>
          </w:p>
        </w:tc>
        <w:tc>
          <w:tcPr>
            <w:tcW w:w="2631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В день проведения осмотра</w:t>
            </w:r>
          </w:p>
        </w:tc>
        <w:tc>
          <w:tcPr>
            <w:tcW w:w="47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  <w:tr w:rsidR="003B4C1A" w:rsidRPr="0070591C" w:rsidTr="005C47A6">
        <w:trPr>
          <w:gridAfter w:val="1"/>
          <w:wAfter w:w="1217" w:type="dxa"/>
        </w:trPr>
        <w:tc>
          <w:tcPr>
            <w:tcW w:w="6616" w:type="dxa"/>
            <w:gridSpan w:val="5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lastRenderedPageBreak/>
              <w:t>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акте осмотра (обследования) электроустановки</w:t>
            </w:r>
          </w:p>
        </w:tc>
        <w:tc>
          <w:tcPr>
            <w:tcW w:w="2631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  <w:tr w:rsidR="003B4C1A" w:rsidRPr="0070591C" w:rsidTr="005C47A6">
        <w:trPr>
          <w:gridAfter w:val="1"/>
          <w:wAfter w:w="1217" w:type="dxa"/>
          <w:trHeight w:val="2318"/>
        </w:trPr>
        <w:tc>
          <w:tcPr>
            <w:tcW w:w="6616" w:type="dxa"/>
            <w:gridSpan w:val="5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Повторный осмотр электроустановки заявителя. Акт о выполнении технических условий оформляется после устранения выявленных нарушений</w:t>
            </w:r>
          </w:p>
        </w:tc>
        <w:tc>
          <w:tcPr>
            <w:tcW w:w="2631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не позднее 3 рабочих дней после получения </w:t>
            </w:r>
            <w:proofErr w:type="gramStart"/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от заявителя уведомления об устранении замечаний с приложением информации о принятых мерах по их устранению</w:t>
            </w:r>
            <w:proofErr w:type="gramEnd"/>
          </w:p>
        </w:tc>
        <w:tc>
          <w:tcPr>
            <w:tcW w:w="47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  <w:tr w:rsidR="003B4C1A" w:rsidRPr="0070591C" w:rsidTr="005C47A6">
        <w:trPr>
          <w:gridAfter w:val="1"/>
          <w:wAfter w:w="1217" w:type="dxa"/>
        </w:trPr>
        <w:tc>
          <w:tcPr>
            <w:tcW w:w="6616" w:type="dxa"/>
            <w:gridSpan w:val="5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5C47A6" w:rsidRDefault="003C0E6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Выдача А</w:t>
            </w:r>
            <w:bookmarkStart w:id="0" w:name="_GoBack"/>
            <w:bookmarkEnd w:id="0"/>
            <w:r w:rsidR="003B4C1A"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кта об осуществлении </w:t>
            </w:r>
            <w:r w:rsid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технологического присоединения;</w:t>
            </w:r>
          </w:p>
          <w:p w:rsidR="0070591C" w:rsidRPr="005C47A6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Акта согласования технологической и (или) аварийной </w:t>
            </w:r>
            <w:proofErr w:type="gramStart"/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брони</w:t>
            </w:r>
            <w:proofErr w:type="gramEnd"/>
            <w:r w:rsidRPr="005C47A6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 xml:space="preserve"> а соответствии с п.14(2) «Правил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утв. ПП РФ от 27.12.2004 № 861</w:t>
            </w:r>
          </w:p>
        </w:tc>
        <w:tc>
          <w:tcPr>
            <w:tcW w:w="2631" w:type="dxa"/>
            <w:gridSpan w:val="3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0591C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  <w:r w:rsidRPr="0070591C"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  <w:t>По окончании осуществления мероприятий по технологическому присоединению</w:t>
            </w:r>
          </w:p>
        </w:tc>
        <w:tc>
          <w:tcPr>
            <w:tcW w:w="47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B4C1A" w:rsidRPr="0070591C" w:rsidRDefault="003B4C1A" w:rsidP="0070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1"/>
                <w:lang w:eastAsia="ru-RU"/>
              </w:rPr>
            </w:pPr>
          </w:p>
        </w:tc>
      </w:tr>
    </w:tbl>
    <w:p w:rsidR="00BC1EFD" w:rsidRPr="003B4C1A" w:rsidRDefault="00BC1EFD">
      <w:pPr>
        <w:rPr>
          <w:rFonts w:ascii="Times New Roman" w:hAnsi="Times New Roman" w:cs="Times New Roman"/>
          <w:sz w:val="28"/>
        </w:rPr>
      </w:pPr>
    </w:p>
    <w:sectPr w:rsidR="00BC1EFD" w:rsidRPr="003B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64E8"/>
    <w:multiLevelType w:val="hybridMultilevel"/>
    <w:tmpl w:val="1D245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07"/>
    <w:rsid w:val="001A6E2A"/>
    <w:rsid w:val="003B4C1A"/>
    <w:rsid w:val="003C0E6A"/>
    <w:rsid w:val="00426E5A"/>
    <w:rsid w:val="0045504C"/>
    <w:rsid w:val="00492503"/>
    <w:rsid w:val="005C47A6"/>
    <w:rsid w:val="0070591C"/>
    <w:rsid w:val="00723487"/>
    <w:rsid w:val="007652E5"/>
    <w:rsid w:val="009A3E2E"/>
    <w:rsid w:val="00A6194C"/>
    <w:rsid w:val="00B75002"/>
    <w:rsid w:val="00BC1EFD"/>
    <w:rsid w:val="00C80907"/>
    <w:rsid w:val="00DE00B9"/>
    <w:rsid w:val="00F6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91C"/>
    <w:pPr>
      <w:ind w:left="720"/>
      <w:contextualSpacing/>
    </w:pPr>
  </w:style>
  <w:style w:type="table" w:styleId="a4">
    <w:name w:val="Table Grid"/>
    <w:basedOn w:val="a1"/>
    <w:uiPriority w:val="59"/>
    <w:rsid w:val="0070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91C"/>
    <w:pPr>
      <w:ind w:left="720"/>
      <w:contextualSpacing/>
    </w:pPr>
  </w:style>
  <w:style w:type="table" w:styleId="a4">
    <w:name w:val="Table Grid"/>
    <w:basedOn w:val="a1"/>
    <w:uiPriority w:val="59"/>
    <w:rsid w:val="0070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МЭС</Company>
  <LinksUpToDate>false</LinksUpToDate>
  <CharactersWithSpaces>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2018-04-03T15:55:00Z</dcterms:created>
  <dcterms:modified xsi:type="dcterms:W3CDTF">2018-04-03T16:22:00Z</dcterms:modified>
</cp:coreProperties>
</file>